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B60" w:rsidRPr="00183B60" w:rsidRDefault="00183B60" w:rsidP="00183B60">
      <w:pPr>
        <w:rPr>
          <w:rFonts w:asciiTheme="majorBidi" w:hAnsiTheme="majorBidi" w:cstheme="majorBidi"/>
          <w:sz w:val="24"/>
          <w:szCs w:val="24"/>
        </w:rPr>
      </w:pPr>
      <w:bookmarkStart w:id="0" w:name="_GoBack"/>
      <w:r w:rsidRPr="00183B60">
        <w:rPr>
          <w:rFonts w:asciiTheme="majorBidi" w:hAnsiTheme="majorBidi" w:cstheme="majorBidi"/>
          <w:sz w:val="24"/>
          <w:szCs w:val="24"/>
        </w:rPr>
        <w:t xml:space="preserve">Evaluation of antioxidant and cytotoxic potential of </w:t>
      </w:r>
      <w:proofErr w:type="spellStart"/>
      <w:r w:rsidRPr="00183B60">
        <w:rPr>
          <w:rFonts w:asciiTheme="majorBidi" w:hAnsiTheme="majorBidi" w:cstheme="majorBidi"/>
          <w:sz w:val="24"/>
          <w:szCs w:val="24"/>
        </w:rPr>
        <w:t>hydroalcoholic</w:t>
      </w:r>
      <w:proofErr w:type="spellEnd"/>
      <w:r w:rsidRPr="00183B60">
        <w:rPr>
          <w:rFonts w:asciiTheme="majorBidi" w:hAnsiTheme="majorBidi" w:cstheme="majorBidi"/>
          <w:sz w:val="24"/>
          <w:szCs w:val="24"/>
        </w:rPr>
        <w:t xml:space="preserve"> extract of </w:t>
      </w:r>
      <w:proofErr w:type="spellStart"/>
      <w:r w:rsidRPr="00183B60">
        <w:rPr>
          <w:rFonts w:asciiTheme="majorBidi" w:hAnsiTheme="majorBidi" w:cstheme="majorBidi"/>
          <w:sz w:val="24"/>
          <w:szCs w:val="24"/>
        </w:rPr>
        <w:t>Perovskia</w:t>
      </w:r>
      <w:proofErr w:type="spellEnd"/>
      <w:r w:rsidRPr="00183B60">
        <w:rPr>
          <w:rFonts w:asciiTheme="majorBidi" w:hAnsiTheme="majorBidi" w:cstheme="majorBidi"/>
          <w:sz w:val="24"/>
          <w:szCs w:val="24"/>
        </w:rPr>
        <w:t xml:space="preserve"> </w:t>
      </w:r>
      <w:proofErr w:type="spellStart"/>
      <w:r w:rsidRPr="00183B60">
        <w:rPr>
          <w:rFonts w:asciiTheme="majorBidi" w:hAnsiTheme="majorBidi" w:cstheme="majorBidi"/>
          <w:sz w:val="24"/>
          <w:szCs w:val="24"/>
        </w:rPr>
        <w:t>abrotanoides</w:t>
      </w:r>
      <w:proofErr w:type="spellEnd"/>
      <w:r w:rsidRPr="00183B60">
        <w:rPr>
          <w:rFonts w:asciiTheme="majorBidi" w:hAnsiTheme="majorBidi" w:cstheme="majorBidi"/>
          <w:sz w:val="24"/>
          <w:szCs w:val="24"/>
        </w:rPr>
        <w:t xml:space="preserve"> in MKN45 gastric cancer cells</w:t>
      </w:r>
    </w:p>
    <w:bookmarkEnd w:id="0"/>
    <w:p w:rsidR="00183B60" w:rsidRPr="00183B60" w:rsidRDefault="00183B60" w:rsidP="00183B60">
      <w:pPr>
        <w:rPr>
          <w:rFonts w:asciiTheme="majorBidi" w:hAnsiTheme="majorBidi" w:cstheme="majorBidi"/>
          <w:sz w:val="24"/>
          <w:szCs w:val="24"/>
        </w:rPr>
      </w:pPr>
    </w:p>
    <w:p w:rsidR="00183B60" w:rsidRPr="00183B60" w:rsidRDefault="00183B60" w:rsidP="00183B60">
      <w:pPr>
        <w:rPr>
          <w:rFonts w:asciiTheme="majorBidi" w:hAnsiTheme="majorBidi" w:cstheme="majorBidi"/>
          <w:sz w:val="24"/>
          <w:szCs w:val="24"/>
        </w:rPr>
      </w:pPr>
      <w:r w:rsidRPr="00183B60">
        <w:rPr>
          <w:rFonts w:asciiTheme="majorBidi" w:hAnsiTheme="majorBidi" w:cstheme="majorBidi"/>
          <w:sz w:val="24"/>
          <w:szCs w:val="24"/>
        </w:rPr>
        <w:t xml:space="preserve">The use of herbs in the treatment of gastric cancer has been the subject of many contradictory studies in medicine. A study by </w:t>
      </w:r>
      <w:proofErr w:type="spellStart"/>
      <w:r w:rsidRPr="00183B60">
        <w:rPr>
          <w:rFonts w:asciiTheme="majorBidi" w:hAnsiTheme="majorBidi" w:cstheme="majorBidi"/>
          <w:sz w:val="24"/>
          <w:szCs w:val="24"/>
        </w:rPr>
        <w:t>Ballabh</w:t>
      </w:r>
      <w:proofErr w:type="spellEnd"/>
      <w:r w:rsidRPr="00183B60">
        <w:rPr>
          <w:rFonts w:asciiTheme="majorBidi" w:hAnsiTheme="majorBidi" w:cstheme="majorBidi"/>
          <w:sz w:val="24"/>
          <w:szCs w:val="24"/>
        </w:rPr>
        <w:t xml:space="preserve"> et al in 2008, found that the </w:t>
      </w:r>
      <w:proofErr w:type="spellStart"/>
      <w:r w:rsidRPr="00183B60">
        <w:rPr>
          <w:rFonts w:asciiTheme="majorBidi" w:hAnsiTheme="majorBidi" w:cstheme="majorBidi"/>
          <w:sz w:val="24"/>
          <w:szCs w:val="24"/>
        </w:rPr>
        <w:t>myrcene</w:t>
      </w:r>
      <w:proofErr w:type="spellEnd"/>
      <w:r w:rsidRPr="00183B60">
        <w:rPr>
          <w:rFonts w:asciiTheme="majorBidi" w:hAnsiTheme="majorBidi" w:cstheme="majorBidi"/>
          <w:sz w:val="24"/>
          <w:szCs w:val="24"/>
        </w:rPr>
        <w:t xml:space="preserve"> in the active ingredient of </w:t>
      </w:r>
      <w:proofErr w:type="spellStart"/>
      <w:r w:rsidRPr="00183B60">
        <w:rPr>
          <w:rFonts w:asciiTheme="majorBidi" w:hAnsiTheme="majorBidi" w:cstheme="majorBidi"/>
          <w:sz w:val="24"/>
          <w:szCs w:val="24"/>
        </w:rPr>
        <w:t>Provskia</w:t>
      </w:r>
      <w:proofErr w:type="spellEnd"/>
      <w:r w:rsidRPr="00183B60">
        <w:rPr>
          <w:rFonts w:asciiTheme="majorBidi" w:hAnsiTheme="majorBidi" w:cstheme="majorBidi"/>
          <w:sz w:val="24"/>
          <w:szCs w:val="24"/>
        </w:rPr>
        <w:t xml:space="preserve"> </w:t>
      </w:r>
      <w:proofErr w:type="spellStart"/>
      <w:r w:rsidRPr="00183B60">
        <w:rPr>
          <w:rFonts w:asciiTheme="majorBidi" w:hAnsiTheme="majorBidi" w:cstheme="majorBidi"/>
          <w:sz w:val="24"/>
          <w:szCs w:val="24"/>
        </w:rPr>
        <w:t>abrotanoides</w:t>
      </w:r>
      <w:proofErr w:type="spellEnd"/>
      <w:r w:rsidRPr="00183B60">
        <w:rPr>
          <w:rFonts w:asciiTheme="majorBidi" w:hAnsiTheme="majorBidi" w:cstheme="majorBidi"/>
          <w:sz w:val="24"/>
          <w:szCs w:val="24"/>
        </w:rPr>
        <w:t xml:space="preserve"> gave it antiseptic, anti-cancer, anti-bacterial and antioxidant properties. Also in this study, the authors claimed that the </w:t>
      </w:r>
      <w:proofErr w:type="spellStart"/>
      <w:r w:rsidRPr="00183B60">
        <w:rPr>
          <w:rFonts w:asciiTheme="majorBidi" w:hAnsiTheme="majorBidi" w:cstheme="majorBidi"/>
          <w:sz w:val="24"/>
          <w:szCs w:val="24"/>
        </w:rPr>
        <w:t>terpinene</w:t>
      </w:r>
      <w:proofErr w:type="spellEnd"/>
      <w:r w:rsidRPr="00183B60">
        <w:rPr>
          <w:rFonts w:asciiTheme="majorBidi" w:hAnsiTheme="majorBidi" w:cstheme="majorBidi"/>
          <w:sz w:val="24"/>
          <w:szCs w:val="24"/>
        </w:rPr>
        <w:t xml:space="preserve"> compound in this plant has good antitumor properties. The </w:t>
      </w:r>
      <w:proofErr w:type="spellStart"/>
      <w:r w:rsidRPr="00183B60">
        <w:rPr>
          <w:rFonts w:asciiTheme="majorBidi" w:hAnsiTheme="majorBidi" w:cstheme="majorBidi"/>
          <w:sz w:val="24"/>
          <w:szCs w:val="24"/>
        </w:rPr>
        <w:t>Provskia</w:t>
      </w:r>
      <w:proofErr w:type="spellEnd"/>
      <w:r w:rsidRPr="00183B60">
        <w:rPr>
          <w:rFonts w:asciiTheme="majorBidi" w:hAnsiTheme="majorBidi" w:cstheme="majorBidi"/>
          <w:sz w:val="24"/>
          <w:szCs w:val="24"/>
        </w:rPr>
        <w:t xml:space="preserve"> is a member of the </w:t>
      </w:r>
      <w:proofErr w:type="spellStart"/>
      <w:r w:rsidRPr="00183B60">
        <w:rPr>
          <w:rFonts w:asciiTheme="majorBidi" w:hAnsiTheme="majorBidi" w:cstheme="majorBidi"/>
          <w:sz w:val="24"/>
          <w:szCs w:val="24"/>
        </w:rPr>
        <w:t>Lamiaceae</w:t>
      </w:r>
      <w:proofErr w:type="spellEnd"/>
      <w:r w:rsidRPr="00183B60">
        <w:rPr>
          <w:rFonts w:asciiTheme="majorBidi" w:hAnsiTheme="majorBidi" w:cstheme="majorBidi"/>
          <w:sz w:val="24"/>
          <w:szCs w:val="24"/>
        </w:rPr>
        <w:t xml:space="preserve">, which has five species, such as P. </w:t>
      </w:r>
      <w:proofErr w:type="spellStart"/>
      <w:r w:rsidRPr="00183B60">
        <w:rPr>
          <w:rFonts w:asciiTheme="majorBidi" w:hAnsiTheme="majorBidi" w:cstheme="majorBidi"/>
          <w:sz w:val="24"/>
          <w:szCs w:val="24"/>
        </w:rPr>
        <w:t>artriplicifolia</w:t>
      </w:r>
      <w:proofErr w:type="spellEnd"/>
      <w:r w:rsidRPr="00183B60">
        <w:rPr>
          <w:rFonts w:asciiTheme="majorBidi" w:hAnsiTheme="majorBidi" w:cstheme="majorBidi"/>
          <w:sz w:val="24"/>
          <w:szCs w:val="24"/>
        </w:rPr>
        <w:t xml:space="preserve">, P. </w:t>
      </w:r>
      <w:proofErr w:type="spellStart"/>
      <w:r w:rsidRPr="00183B60">
        <w:rPr>
          <w:rFonts w:asciiTheme="majorBidi" w:hAnsiTheme="majorBidi" w:cstheme="majorBidi"/>
          <w:sz w:val="24"/>
          <w:szCs w:val="24"/>
        </w:rPr>
        <w:t>hybrida</w:t>
      </w:r>
      <w:proofErr w:type="spellEnd"/>
      <w:r w:rsidRPr="00183B60">
        <w:rPr>
          <w:rFonts w:asciiTheme="majorBidi" w:hAnsiTheme="majorBidi" w:cstheme="majorBidi"/>
          <w:sz w:val="24"/>
          <w:szCs w:val="24"/>
        </w:rPr>
        <w:t xml:space="preserve">, and P. </w:t>
      </w:r>
      <w:proofErr w:type="spellStart"/>
      <w:r w:rsidRPr="00183B60">
        <w:rPr>
          <w:rFonts w:asciiTheme="majorBidi" w:hAnsiTheme="majorBidi" w:cstheme="majorBidi"/>
          <w:sz w:val="24"/>
          <w:szCs w:val="24"/>
        </w:rPr>
        <w:t>abrotanoide</w:t>
      </w:r>
      <w:proofErr w:type="spellEnd"/>
      <w:r w:rsidRPr="00183B60">
        <w:rPr>
          <w:rFonts w:asciiTheme="majorBidi" w:hAnsiTheme="majorBidi" w:cstheme="majorBidi"/>
          <w:sz w:val="24"/>
          <w:szCs w:val="24"/>
        </w:rPr>
        <w:t xml:space="preserve">, known to the natives as domo, </w:t>
      </w:r>
      <w:proofErr w:type="spellStart"/>
      <w:r w:rsidRPr="00183B60">
        <w:rPr>
          <w:rFonts w:asciiTheme="majorBidi" w:hAnsiTheme="majorBidi" w:cstheme="majorBidi"/>
          <w:sz w:val="24"/>
          <w:szCs w:val="24"/>
        </w:rPr>
        <w:t>brazmble</w:t>
      </w:r>
      <w:proofErr w:type="spellEnd"/>
      <w:r w:rsidRPr="00183B60">
        <w:rPr>
          <w:rFonts w:asciiTheme="majorBidi" w:hAnsiTheme="majorBidi" w:cstheme="majorBidi"/>
          <w:sz w:val="24"/>
          <w:szCs w:val="24"/>
        </w:rPr>
        <w:t xml:space="preserve">, or gore; The amounts of flavonoid, phenolic and anthocyanin compounds in the organs of this plant are very rich and the amounts of these important compounds are increased in high areas. This plant is used to relieve rheumatic pain, inflammation, </w:t>
      </w:r>
      <w:proofErr w:type="spellStart"/>
      <w:r w:rsidRPr="00183B60">
        <w:rPr>
          <w:rFonts w:asciiTheme="majorBidi" w:hAnsiTheme="majorBidi" w:cstheme="majorBidi"/>
          <w:sz w:val="24"/>
          <w:szCs w:val="24"/>
        </w:rPr>
        <w:t>leishmaniasis</w:t>
      </w:r>
      <w:proofErr w:type="spellEnd"/>
      <w:r w:rsidRPr="00183B60">
        <w:rPr>
          <w:rFonts w:asciiTheme="majorBidi" w:hAnsiTheme="majorBidi" w:cstheme="majorBidi"/>
          <w:sz w:val="24"/>
          <w:szCs w:val="24"/>
        </w:rPr>
        <w:t xml:space="preserve">, parasite repellent and disinfectant. The results of this study showed that the extract of </w:t>
      </w:r>
      <w:proofErr w:type="spellStart"/>
      <w:r w:rsidRPr="00183B60">
        <w:rPr>
          <w:rFonts w:asciiTheme="majorBidi" w:hAnsiTheme="majorBidi" w:cstheme="majorBidi"/>
          <w:sz w:val="24"/>
          <w:szCs w:val="24"/>
        </w:rPr>
        <w:t>Perovskia</w:t>
      </w:r>
      <w:proofErr w:type="spellEnd"/>
      <w:r w:rsidRPr="00183B60">
        <w:rPr>
          <w:rFonts w:asciiTheme="majorBidi" w:hAnsiTheme="majorBidi" w:cstheme="majorBidi"/>
          <w:sz w:val="24"/>
          <w:szCs w:val="24"/>
        </w:rPr>
        <w:t xml:space="preserve"> </w:t>
      </w:r>
      <w:proofErr w:type="spellStart"/>
      <w:r w:rsidRPr="00183B60">
        <w:rPr>
          <w:rFonts w:asciiTheme="majorBidi" w:hAnsiTheme="majorBidi" w:cstheme="majorBidi"/>
          <w:sz w:val="24"/>
          <w:szCs w:val="24"/>
        </w:rPr>
        <w:t>abrotanoides</w:t>
      </w:r>
      <w:proofErr w:type="spellEnd"/>
      <w:r w:rsidRPr="00183B60">
        <w:rPr>
          <w:rFonts w:asciiTheme="majorBidi" w:hAnsiTheme="majorBidi" w:cstheme="majorBidi"/>
          <w:sz w:val="24"/>
          <w:szCs w:val="24"/>
        </w:rPr>
        <w:t xml:space="preserve"> had a high lethal effect on gastric cancer cells (MKN45); This percentage of lethality increased with passing of time and increasing concentration. The extract and extraction, separation and purification of active components in the plant extract are recommended for clinical use.</w:t>
      </w:r>
    </w:p>
    <w:p w:rsidR="00183B60" w:rsidRPr="00183B60" w:rsidRDefault="00183B60" w:rsidP="00183B60">
      <w:pPr>
        <w:rPr>
          <w:rFonts w:asciiTheme="majorBidi" w:hAnsiTheme="majorBidi" w:cstheme="majorBidi"/>
          <w:sz w:val="24"/>
          <w:szCs w:val="24"/>
        </w:rPr>
      </w:pPr>
    </w:p>
    <w:p w:rsidR="00183B60" w:rsidRPr="00183B60" w:rsidRDefault="00183B60" w:rsidP="00183B60">
      <w:pPr>
        <w:rPr>
          <w:rFonts w:asciiTheme="majorBidi" w:hAnsiTheme="majorBidi" w:cstheme="majorBidi"/>
          <w:sz w:val="24"/>
          <w:szCs w:val="24"/>
        </w:rPr>
      </w:pPr>
    </w:p>
    <w:p w:rsidR="00183B60" w:rsidRPr="00183B60" w:rsidRDefault="00183B60" w:rsidP="00183B60">
      <w:pPr>
        <w:rPr>
          <w:rFonts w:asciiTheme="majorBidi" w:hAnsiTheme="majorBidi" w:cstheme="majorBidi"/>
          <w:sz w:val="24"/>
          <w:szCs w:val="24"/>
        </w:rPr>
      </w:pPr>
    </w:p>
    <w:p w:rsidR="00183B60" w:rsidRPr="00183B60" w:rsidRDefault="00183B60" w:rsidP="00183B60">
      <w:pPr>
        <w:rPr>
          <w:rFonts w:asciiTheme="majorBidi" w:hAnsiTheme="majorBidi" w:cstheme="majorBidi"/>
          <w:sz w:val="24"/>
          <w:szCs w:val="24"/>
        </w:rPr>
      </w:pPr>
      <w:r w:rsidRPr="00183B60">
        <w:rPr>
          <w:rFonts w:asciiTheme="majorBidi" w:hAnsiTheme="majorBidi" w:cstheme="majorBidi"/>
          <w:sz w:val="24"/>
          <w:szCs w:val="24"/>
        </w:rPr>
        <w:t xml:space="preserve">This article was published in </w:t>
      </w:r>
      <w:proofErr w:type="spellStart"/>
      <w:r w:rsidRPr="00183B60">
        <w:rPr>
          <w:rFonts w:asciiTheme="majorBidi" w:hAnsiTheme="majorBidi" w:cstheme="majorBidi"/>
          <w:sz w:val="24"/>
          <w:szCs w:val="24"/>
        </w:rPr>
        <w:t>Koomesh</w:t>
      </w:r>
      <w:proofErr w:type="spellEnd"/>
      <w:r w:rsidRPr="00183B60">
        <w:rPr>
          <w:rFonts w:asciiTheme="majorBidi" w:hAnsiTheme="majorBidi" w:cstheme="majorBidi"/>
          <w:sz w:val="24"/>
          <w:szCs w:val="24"/>
        </w:rPr>
        <w:t xml:space="preserve"> magazine with the following link:</w:t>
      </w:r>
    </w:p>
    <w:p w:rsidR="00183B60" w:rsidRPr="00183B60" w:rsidRDefault="00183B60" w:rsidP="00183B60">
      <w:pPr>
        <w:rPr>
          <w:rFonts w:asciiTheme="majorBidi" w:hAnsiTheme="majorBidi" w:cstheme="majorBidi"/>
          <w:sz w:val="24"/>
          <w:szCs w:val="24"/>
        </w:rPr>
      </w:pPr>
    </w:p>
    <w:p w:rsidR="00F3738E" w:rsidRPr="00183B60" w:rsidRDefault="00183B60" w:rsidP="00183B60">
      <w:pPr>
        <w:rPr>
          <w:rFonts w:asciiTheme="majorBidi" w:hAnsiTheme="majorBidi" w:cstheme="majorBidi"/>
          <w:sz w:val="24"/>
          <w:szCs w:val="24"/>
        </w:rPr>
      </w:pPr>
      <w:hyperlink r:id="rId4" w:history="1">
        <w:r w:rsidRPr="00437099">
          <w:rPr>
            <w:rStyle w:val="Hyperlink"/>
            <w:rFonts w:asciiTheme="majorBidi" w:hAnsiTheme="majorBidi" w:cstheme="majorBidi"/>
            <w:sz w:val="24"/>
            <w:szCs w:val="24"/>
          </w:rPr>
          <w:t>http://koomeshjournal.semums.ac.ir/article-1-5787-fa.html</w:t>
        </w:r>
      </w:hyperlink>
      <w:r>
        <w:rPr>
          <w:rFonts w:asciiTheme="majorBidi" w:hAnsiTheme="majorBidi" w:cstheme="majorBidi"/>
          <w:sz w:val="24"/>
          <w:szCs w:val="24"/>
        </w:rPr>
        <w:t xml:space="preserve"> </w:t>
      </w:r>
    </w:p>
    <w:sectPr w:rsidR="00F3738E" w:rsidRPr="00183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B60"/>
    <w:rsid w:val="00183B60"/>
    <w:rsid w:val="0095178D"/>
    <w:rsid w:val="00BE1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99E6"/>
  <w15:chartTrackingRefBased/>
  <w15:docId w15:val="{838B81E9-A131-4730-B3EC-0EEAD7ED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3B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oomeshjournal.semums.ac.ir/article-1-5787-f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1340</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سمیرا تقوی پور</dc:creator>
  <cp:keywords/>
  <dc:description/>
  <cp:lastModifiedBy>سمیرا تقوی پور</cp:lastModifiedBy>
  <cp:revision>1</cp:revision>
  <dcterms:created xsi:type="dcterms:W3CDTF">2022-05-14T07:49:00Z</dcterms:created>
  <dcterms:modified xsi:type="dcterms:W3CDTF">2022-05-14T07:50:00Z</dcterms:modified>
</cp:coreProperties>
</file>